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8D6DF5">
        <w:rPr>
          <w:sz w:val="24"/>
          <w:szCs w:val="24"/>
        </w:rPr>
        <w:t>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 xml:space="preserve">) рабочих дней </w:t>
      </w:r>
      <w:proofErr w:type="gramStart"/>
      <w:r w:rsidR="003D2B1D" w:rsidRPr="00041024">
        <w:rPr>
          <w:sz w:val="24"/>
          <w:szCs w:val="24"/>
        </w:rPr>
        <w:t>с даты предоставления</w:t>
      </w:r>
      <w:proofErr w:type="gramEnd"/>
      <w:r w:rsidR="003D2B1D" w:rsidRPr="00041024">
        <w:rPr>
          <w:sz w:val="24"/>
          <w:szCs w:val="24"/>
        </w:rPr>
        <w:t xml:space="preserve">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5D6B05" w:rsidRDefault="005D6B05" w:rsidP="009838C1">
      <w:pPr>
        <w:jc w:val="right"/>
        <w:rPr>
          <w:i/>
          <w:sz w:val="24"/>
          <w:szCs w:val="24"/>
        </w:rPr>
      </w:pPr>
    </w:p>
    <w:p w:rsidR="005D6B05" w:rsidRDefault="005D6B05" w:rsidP="009838C1">
      <w:pPr>
        <w:jc w:val="right"/>
        <w:rPr>
          <w:i/>
          <w:sz w:val="24"/>
          <w:szCs w:val="24"/>
        </w:rPr>
      </w:pPr>
      <w:bookmarkStart w:id="0" w:name="_GoBack"/>
      <w:bookmarkEnd w:id="0"/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4B5095" w:rsidP="008D6DF5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8D6DF5">
              <w:rPr>
                <w:sz w:val="24"/>
                <w:szCs w:val="24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B" w:rsidRDefault="0014342B">
      <w:r>
        <w:separator/>
      </w:r>
    </w:p>
  </w:endnote>
  <w:endnote w:type="continuationSeparator" w:id="0">
    <w:p w:rsidR="0014342B" w:rsidRDefault="001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14342B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B05">
      <w:rPr>
        <w:rStyle w:val="a7"/>
        <w:noProof/>
      </w:rPr>
      <w:t>7</w:t>
    </w:r>
    <w:r>
      <w:rPr>
        <w:rStyle w:val="a7"/>
      </w:rPr>
      <w:fldChar w:fldCharType="end"/>
    </w:r>
  </w:p>
  <w:p w:rsidR="007D20A2" w:rsidRDefault="0014342B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B" w:rsidRDefault="0014342B">
      <w:r>
        <w:separator/>
      </w:r>
    </w:p>
  </w:footnote>
  <w:footnote w:type="continuationSeparator" w:id="0">
    <w:p w:rsidR="0014342B" w:rsidRDefault="001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4342B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1B59"/>
    <w:rsid w:val="005D312D"/>
    <w:rsid w:val="005D4BD4"/>
    <w:rsid w:val="005D6B05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8D6DF5"/>
    <w:rsid w:val="0092775F"/>
    <w:rsid w:val="00980D12"/>
    <w:rsid w:val="009817E4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AC7F-C5C5-4DF6-BEE6-8A1AFC8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2017-02-01T08:40:00Z</cp:lastPrinted>
  <dcterms:created xsi:type="dcterms:W3CDTF">2017-02-01T09:17:00Z</dcterms:created>
  <dcterms:modified xsi:type="dcterms:W3CDTF">2017-08-17T09:57:00Z</dcterms:modified>
</cp:coreProperties>
</file>